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5A" w:rsidRDefault="00BF4B2D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285D5A" w:rsidRPr="00BF4B2D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 уровне образования и формах обучения</w:t>
      </w:r>
    </w:p>
    <w:p w:rsidR="00BF4B2D" w:rsidRPr="00BF4B2D" w:rsidRDefault="00BF4B2D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ДОУ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Линевском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муниципальном детском саду №2 «Ромашка» </w:t>
      </w:r>
      <w:proofErr w:type="spellStart"/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Жирновского</w:t>
      </w:r>
      <w:proofErr w:type="spellEnd"/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Волгоградской области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F4B2D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Уровень образования: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дошкольное образование.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Язык образования: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русский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Форма обучения: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очная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Дошкольное   образовательное   учреждение </w:t>
      </w:r>
      <w:proofErr w:type="spellStart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Линевский</w:t>
      </w:r>
      <w:proofErr w:type="spellEnd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муниципальный детский сад №2 «Ромашка» - 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обеспечивает   </w:t>
      </w:r>
      <w:proofErr w:type="gramStart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воспитание,  обучение</w:t>
      </w:r>
      <w:proofErr w:type="gramEnd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и присмотр детей  в  возрасте  от  2 месяцев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до 7 лет.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Режим  работы  ДОУ:  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5 - </w:t>
      </w:r>
      <w:proofErr w:type="spellStart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</w:t>
      </w:r>
      <w:proofErr w:type="spellEnd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дневная  рабочая  неделя;  длительность  работы ДОУ - де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сять с  половиной часов: с  7. 00   до 17.3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 часов ежедневно, кроме  праздничных и выходных  -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субботы,  воскресенья. 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Допускается 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посещение   деть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>ми   ДОУ   по   индивидуальному   </w:t>
      </w:r>
      <w:proofErr w:type="gramStart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графику,   </w:t>
      </w:r>
      <w:proofErr w:type="gramEnd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который оговаривается  в  договоре между ДОУ и родителями (законными представителями).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Основной структурной единицей ДОУ является группа детей дошкольного возраста. 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  группе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общеразвивающей   направленности   предельная   наполняемость устанавливается  в зависимости от возраста детей и составляет: 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 3 до 7 лет – до 20 детей. 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Группы комплектуются с учетом возраста </w:t>
      </w:r>
      <w:proofErr w:type="gramStart"/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детей:</w:t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</w:t>
      </w:r>
      <w:proofErr w:type="gramEnd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 месяцев до 3лет -  ясельная группа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BF4B2D" w:rsidRDefault="00BF4B2D" w:rsidP="00BF4B2D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От3лет до 7 лет– смешанная дошкольная</w:t>
      </w:r>
      <w:r w:rsidR="00285D5A"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группа общеразвивающей направленности;</w:t>
      </w:r>
    </w:p>
    <w:p w:rsidR="00BF4B2D" w:rsidRPr="00285D5A" w:rsidRDefault="00BF4B2D" w:rsidP="00BF4B2D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группах   общеразвивающей   направленности    осуществляется   дошкольное образование в соответствии с образовательной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программой ДОУ, </w:t>
      </w:r>
      <w:proofErr w:type="spellStart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разрабатаной</w:t>
      </w:r>
      <w:proofErr w:type="spellEnd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им    самостоятельно    на    основе   примерной    основной    общеобразовательной программы дошкольного образования и федеральных государственных стандартов к структуре   основной   образовательной   программы   дошкольного  образования   и условиям ее реализации.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BF4B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Первоочередное п</w:t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раво на зачисление детей в ДОУ предоставляется категориям граждан, за которыми данное право закреплено дей</w:t>
      </w:r>
      <w:r w:rsidR="00BF4B2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ствующим законодательством  и </w:t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первую очередь принимаются: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родителей - инвалидов, дети – инвалиды;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из многодетных семей;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дети, находящиеся под опекой;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лица, дети сотрудников полиции, прокуроров и следователей;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судьи, мировые судьи;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военнослужащих сотрудников органов внутренних дел, уголовно-исполнительной системы;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сотрудники органов по контролю за оборотом наркотических веществ и психотропных веществ;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сотрудники и военнослужащие специальных сил по обнаружению и пресечению деятельности террористических организаций и групп;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граждан, пострадавших вследствие Чернобыльской катастрофы;</w:t>
      </w:r>
    </w:p>
    <w:p w:rsidR="00285D5A" w:rsidRP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дети военнослужащих и погибших (пропавших без вести) военнослужащих;</w:t>
      </w:r>
    </w:p>
    <w:p w:rsidR="00285D5A" w:rsidRDefault="00285D5A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семьи, имеющие детей и находящиеся в социально опасном положении.</w:t>
      </w:r>
    </w:p>
    <w:p w:rsidR="00BF4B2D" w:rsidRPr="00285D5A" w:rsidRDefault="00BF4B2D" w:rsidP="00285D5A">
      <w:pPr>
        <w:numPr>
          <w:ilvl w:val="0"/>
          <w:numId w:val="1"/>
        </w:numPr>
        <w:spacing w:after="0" w:line="270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5D5A" w:rsidRPr="00285D5A" w:rsidRDefault="00285D5A" w:rsidP="00285D5A">
      <w:pPr>
        <w:shd w:val="clear" w:color="auto" w:fill="FCFE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  <w:proofErr w:type="gramStart"/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Основная  образовательная</w:t>
      </w:r>
      <w:proofErr w:type="gramEnd"/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программа дошкольного образования.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Направленность</w:t>
      </w:r>
      <w:proofErr w:type="gramStart"/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  (</w:t>
      </w:r>
      <w:proofErr w:type="gramEnd"/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наименование)   образовательной   программы: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Основная  образовательная программа дошкольного образования в группах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общеразвивающей направленности составлена на основе программы «Школа 2100», авторский коллектив под руководством </w:t>
      </w:r>
      <w:proofErr w:type="spellStart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А.А.Леонтьевой</w:t>
      </w:r>
      <w:proofErr w:type="spellEnd"/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Вид образовательной программы: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основная.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Нормативный срок освоения: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4 года, продолжительность обучения на каждом этапе – 1 год.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об уровне образования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 образовательного пр</w:t>
      </w:r>
      <w:r w:rsidR="00BF4B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оцесса в детском саду №2 «Ромашка»</w:t>
      </w: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  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образования, и с учетом особенностей психофизического развития и возможностей детей.</w:t>
      </w:r>
    </w:p>
    <w:p w:rsidR="00285D5A" w:rsidRPr="00285D5A" w:rsidRDefault="00285D5A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Дошкольное учреждение реализует основную образовательную программу развития и воспитания детей в детском саду «От рождения до школы» под редакцией </w:t>
      </w:r>
      <w:proofErr w:type="spellStart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Веракса</w:t>
      </w:r>
      <w:proofErr w:type="spellEnd"/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Н. Е., Комаровой Т. С., Васильевой М. А.</w:t>
      </w:r>
      <w:r w:rsid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программу «Школа </w:t>
      </w:r>
      <w:proofErr w:type="gramStart"/>
      <w:r w:rsid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2100»  </w:t>
      </w:r>
      <w:r w:rsid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авторский</w:t>
      </w:r>
      <w:proofErr w:type="gramEnd"/>
      <w:r w:rsid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коллектив под руководством </w:t>
      </w:r>
      <w:proofErr w:type="spellStart"/>
      <w:r w:rsid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А.А.Леонтьевой</w:t>
      </w:r>
      <w:proofErr w:type="spellEnd"/>
      <w:r w:rsid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D2567" w:rsidRPr="00285D5A" w:rsidRDefault="00FD2567" w:rsidP="00FD2567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25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285D5A" w:rsidRPr="00285D5A" w:rsidRDefault="00FD2567" w:rsidP="00285D5A">
      <w:pPr>
        <w:shd w:val="clear" w:color="auto" w:fill="FCFE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выстраивания целостного</w:t>
      </w:r>
      <w:r w:rsidR="00285D5A"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педагогического процесса и обеспечения оптимальной нагрузки на ребенка в условиях вариативности образования </w:t>
      </w:r>
      <w:proofErr w:type="gramStart"/>
      <w:r w:rsidR="00285D5A"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педагоги  ДОУ</w:t>
      </w:r>
      <w:proofErr w:type="gramEnd"/>
      <w:r w:rsidR="00285D5A" w:rsidRPr="00285D5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использует дополнительную  программу:</w:t>
      </w:r>
    </w:p>
    <w:p w:rsidR="00E0707E" w:rsidRDefault="00FD2567">
      <w:r>
        <w:t xml:space="preserve">- «Кроха», автор </w:t>
      </w:r>
      <w:proofErr w:type="spellStart"/>
      <w:r>
        <w:t>Г.Г.Григорьевой</w:t>
      </w:r>
      <w:proofErr w:type="spellEnd"/>
    </w:p>
    <w:p w:rsidR="00FD2567" w:rsidRDefault="00FD2567">
      <w:r>
        <w:t xml:space="preserve">- «Основы безопасности и жизнедеятельности детей дошкольного возраста», автор </w:t>
      </w:r>
      <w:bookmarkStart w:id="0" w:name="_GoBack"/>
      <w:bookmarkEnd w:id="0"/>
    </w:p>
    <w:sectPr w:rsidR="00F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0FF"/>
    <w:multiLevelType w:val="multilevel"/>
    <w:tmpl w:val="FDCA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A"/>
    <w:rsid w:val="00285D5A"/>
    <w:rsid w:val="00BF4B2D"/>
    <w:rsid w:val="00E0707E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4364-C1E3-47B6-B685-34B8CE6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10104120951</dc:creator>
  <cp:keywords/>
  <dc:description/>
  <cp:lastModifiedBy>10104120951</cp:lastModifiedBy>
  <cp:revision>3</cp:revision>
  <dcterms:created xsi:type="dcterms:W3CDTF">2015-02-23T10:39:00Z</dcterms:created>
  <dcterms:modified xsi:type="dcterms:W3CDTF">2015-02-23T11:19:00Z</dcterms:modified>
</cp:coreProperties>
</file>